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Pr>
        <w:drawing xmlns:a="http://schemas.openxmlformats.org/drawingml/2006/main">
          <wp:anchor distT="57150" distB="57150" distL="57150" distR="57150" simplePos="0" relativeHeight="251659264" behindDoc="0" locked="0" layoutInCell="1" allowOverlap="1">
            <wp:simplePos x="0" y="0"/>
            <wp:positionH relativeFrom="margin">
              <wp:posOffset>3248025</wp:posOffset>
            </wp:positionH>
            <wp:positionV relativeFrom="line">
              <wp:posOffset>104775</wp:posOffset>
            </wp:positionV>
            <wp:extent cx="1720850" cy="24669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rcRect l="0" t="0" r="0" b="0"/>
                    <a:stretch>
                      <a:fillRect/>
                    </a:stretch>
                  </pic:blipFill>
                  <pic:spPr>
                    <a:xfrm>
                      <a:off x="0" y="0"/>
                      <a:ext cx="1720850" cy="2466975"/>
                    </a:xfrm>
                    <a:prstGeom prst="rect">
                      <a:avLst/>
                    </a:prstGeom>
                    <a:ln w="12700" cap="flat">
                      <a:noFill/>
                      <a:miter lim="400000"/>
                    </a:ln>
                    <a:effectLst/>
                  </pic:spPr>
                </pic:pic>
              </a:graphicData>
            </a:graphic>
          </wp:anchor>
        </w:drawing>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bidi w:val="0"/>
        <w:ind w:left="0" w:right="0" w:firstLine="0"/>
        <w:jc w:val="left"/>
        <w:rPr>
          <w:rFonts w:ascii="Times New Roman" w:hAnsi="Times New Roman"/>
          <w:sz w:val="24"/>
          <w:szCs w:val="24"/>
          <w:u w:color="000000"/>
          <w:rtl w:val="0"/>
          <w:lang w:val="en-US"/>
        </w:rPr>
      </w:pPr>
    </w:p>
    <w:p>
      <w:pPr>
        <w:pStyle w:val="Body"/>
        <w:bidi w:val="0"/>
        <w:ind w:left="0" w:right="0" w:firstLine="0"/>
        <w:jc w:val="center"/>
        <w:rPr>
          <w:rFonts w:ascii="Times New Roman" w:hAnsi="Times New Roman"/>
          <w:b w:val="1"/>
          <w:bCs w:val="1"/>
          <w:outline w:val="0"/>
          <w:color w:val="000000"/>
          <w:sz w:val="36"/>
          <w:szCs w:val="36"/>
          <w:u w:val="single" w:color="000000"/>
          <w:rtl w:val="0"/>
          <w14:textFill>
            <w14:solidFill>
              <w14:srgbClr w14:val="000000"/>
            </w14:solidFill>
          </w14:textFill>
        </w:rPr>
      </w:pPr>
    </w:p>
    <w:p>
      <w:pPr>
        <w:pStyle w:val="Body"/>
        <w:bidi w:val="0"/>
        <w:ind w:left="0" w:right="0" w:firstLine="0"/>
        <w:jc w:val="center"/>
        <w:rPr>
          <w:rFonts w:ascii="Times New Roman" w:hAnsi="Times New Roman"/>
          <w:b w:val="1"/>
          <w:bCs w:val="1"/>
          <w:outline w:val="0"/>
          <w:color w:val="000000"/>
          <w:sz w:val="36"/>
          <w:szCs w:val="36"/>
          <w:u w:val="single" w:color="000000"/>
          <w:rtl w:val="0"/>
          <w14:textFill>
            <w14:solidFill>
              <w14:srgbClr w14:val="000000"/>
            </w14:solidFill>
          </w14:textFill>
        </w:rPr>
      </w:pPr>
    </w:p>
    <w:p>
      <w:pPr>
        <w:pStyle w:val="Body"/>
        <w:bidi w:val="0"/>
        <w:ind w:left="0" w:right="0" w:firstLine="0"/>
        <w:jc w:val="center"/>
        <w:rPr>
          <w:rFonts w:ascii="Times New Roman" w:hAnsi="Times New Roman"/>
          <w:b w:val="1"/>
          <w:bCs w:val="1"/>
          <w:outline w:val="0"/>
          <w:color w:val="000000"/>
          <w:sz w:val="36"/>
          <w:szCs w:val="36"/>
          <w:u w:val="single" w:color="000000"/>
          <w:rtl w:val="0"/>
          <w14:textFill>
            <w14:solidFill>
              <w14:srgbClr w14:val="000000"/>
            </w14:solidFill>
          </w14:textFill>
        </w:rPr>
      </w:pPr>
    </w:p>
    <w:p>
      <w:pPr>
        <w:pStyle w:val="Body"/>
        <w:bidi w:val="0"/>
        <w:ind w:left="0" w:right="0" w:firstLine="0"/>
        <w:jc w:val="center"/>
        <w:rPr>
          <w:rFonts w:ascii="Times New Roman" w:hAnsi="Times New Roman"/>
          <w:b w:val="1"/>
          <w:bCs w:val="1"/>
          <w:sz w:val="36"/>
          <w:szCs w:val="36"/>
          <w:u w:val="single" w:color="000000"/>
          <w:rtl w:val="0"/>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r>
        <w:rPr>
          <w:sz w:val="28"/>
          <w:szCs w:val="28"/>
          <w:rtl w:val="0"/>
          <w:lang w:val="fr-FR"/>
        </w:rPr>
        <w:t>Advisory Committee on the Environment Activity Plan for 2021</w:t>
      </w:r>
    </w:p>
    <w:p>
      <w:pPr>
        <w:pStyle w:val="Body"/>
        <w:jc w:val="center"/>
        <w:rPr>
          <w:sz w:val="28"/>
          <w:szCs w:val="28"/>
        </w:rPr>
      </w:pPr>
    </w:p>
    <w:p>
      <w:pPr>
        <w:pStyle w:val="Body"/>
        <w:jc w:val="center"/>
      </w:pPr>
      <w:r>
        <w:rPr>
          <w:sz w:val="28"/>
          <w:szCs w:val="28"/>
          <w:rtl w:val="0"/>
          <w:lang w:val="fr-FR"/>
        </w:rPr>
        <w:t xml:space="preserve">For approval as per section 1.4 (e) of Terms of Reference </w:t>
      </w:r>
      <w:r>
        <w:rPr>
          <w:rFonts w:ascii="Arial Unicode MS" w:cs="Arial Unicode MS" w:hAnsi="Arial Unicode MS" w:eastAsia="Arial Unicode MS"/>
          <w:b w:val="0"/>
          <w:bCs w:val="0"/>
          <w:i w:val="0"/>
          <w:iCs w:val="0"/>
          <w:sz w:val="28"/>
          <w:szCs w:val="28"/>
        </w:rPr>
        <w:br w:type="page"/>
      </w:r>
    </w:p>
    <w:p>
      <w:pPr>
        <w:pStyle w:val="Body"/>
        <w:jc w:val="center"/>
        <w:rPr>
          <w:sz w:val="28"/>
          <w:szCs w:val="28"/>
        </w:rPr>
      </w:pPr>
    </w:p>
    <w:p>
      <w:pPr>
        <w:pStyle w:val="Body"/>
        <w:jc w:val="center"/>
        <w:rPr>
          <w:sz w:val="28"/>
          <w:szCs w:val="28"/>
        </w:rPr>
      </w:pPr>
    </w:p>
    <w:tbl>
      <w:tblPr>
        <w:tblW w:w="12953"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58"/>
        <w:gridCol w:w="6255"/>
        <w:gridCol w:w="1771"/>
        <w:gridCol w:w="1948"/>
        <w:gridCol w:w="1221"/>
      </w:tblGrid>
      <w:tr>
        <w:tblPrEx>
          <w:shd w:val="clear" w:color="auto" w:fill="bdc0bf"/>
        </w:tblPrEx>
        <w:trPr>
          <w:trHeight w:val="304" w:hRule="atLeast"/>
          <w:tblHeader/>
        </w:trPr>
        <w:tc>
          <w:tcPr>
            <w:tcW w:type="dxa" w:w="175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Neue" w:hAnsi="Helvetica Neue"/>
                <w:sz w:val="24"/>
                <w:szCs w:val="24"/>
                <w:rtl w:val="0"/>
              </w:rPr>
              <w:t>Activity</w:t>
            </w:r>
          </w:p>
        </w:tc>
        <w:tc>
          <w:tcPr>
            <w:tcW w:type="dxa" w:w="6255"/>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Neue" w:hAnsi="Helvetica Neue"/>
                <w:sz w:val="24"/>
                <w:szCs w:val="24"/>
                <w:rtl w:val="0"/>
              </w:rPr>
              <w:t>Description</w:t>
            </w:r>
          </w:p>
        </w:tc>
        <w:tc>
          <w:tcPr>
            <w:tcW w:type="dxa" w:w="177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Neue" w:hAnsi="Helvetica Neue"/>
                <w:sz w:val="24"/>
                <w:szCs w:val="24"/>
                <w:rtl w:val="0"/>
              </w:rPr>
              <w:t>Lead</w:t>
            </w:r>
          </w:p>
        </w:tc>
        <w:tc>
          <w:tcPr>
            <w:tcW w:type="dxa" w:w="194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Neue" w:hAnsi="Helvetica Neue"/>
                <w:sz w:val="24"/>
                <w:szCs w:val="24"/>
                <w:rtl w:val="0"/>
              </w:rPr>
              <w:t>Timelines</w:t>
            </w:r>
          </w:p>
        </w:tc>
        <w:tc>
          <w:tcPr>
            <w:tcW w:type="dxa" w:w="122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right"/>
            </w:pPr>
            <w:r>
              <w:rPr>
                <w:rFonts w:ascii="Helvetica Neue" w:hAnsi="Helvetica Neue"/>
                <w:sz w:val="24"/>
                <w:szCs w:val="24"/>
                <w:rtl w:val="0"/>
              </w:rPr>
              <w:t>Cost</w:t>
            </w:r>
          </w:p>
        </w:tc>
      </w:tr>
      <w:tr>
        <w:tblPrEx>
          <w:shd w:val="clear" w:color="auto" w:fill="auto"/>
        </w:tblPrEx>
        <w:trPr>
          <w:trHeight w:val="1684" w:hRule="atLeast"/>
        </w:trPr>
        <w:tc>
          <w:tcPr>
            <w:tcW w:type="dxa" w:w="1758"/>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50M trees</w:t>
            </w:r>
          </w:p>
        </w:tc>
        <w:tc>
          <w:tcPr>
            <w:tcW w:type="dxa" w:w="6255"/>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This project is managed by South Nation Conservation and encourages Townships to reforest vacant land belonging to Township.  Land parcels have been identified and costs have set.  Land should be prepared in 2021.  Project to be presented to council in August to secure funds for 2022.</w:t>
            </w:r>
          </w:p>
        </w:tc>
        <w:tc>
          <w:tcPr>
            <w:tcW w:type="dxa" w:w="1771"/>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Nathalie Belliveau</w:t>
            </w:r>
          </w:p>
        </w:tc>
        <w:tc>
          <w:tcPr>
            <w:tcW w:type="dxa" w:w="194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August 2021</w:t>
            </w:r>
          </w:p>
        </w:tc>
        <w:tc>
          <w:tcPr>
            <w:tcW w:type="dxa" w:w="122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112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Parcs Project</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As ACE did in 2020, ACE will continue to support township in applying for $300 Community Environmental Grants to plant trees in municipal  parcs. While township will provide some labour to plant trees.</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 xml:space="preserve">Ian Walker </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Juin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84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Spring tree giveaway</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ACE to purchase and organize a tree giveaway to encourage residents and businesses to plant trees on their land.</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 xml:space="preserve">Ian Walker </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May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3K</w:t>
            </w:r>
          </w:p>
        </w:tc>
      </w:tr>
      <w:tr>
        <w:tblPrEx>
          <w:shd w:val="clear" w:color="auto" w:fill="auto"/>
        </w:tblPrEx>
        <w:trPr>
          <w:trHeight w:val="28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 xml:space="preserve">Compost </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ACE to create a Compost sub-committee, conduct an analysis of different options in composting yard waste .  The sub-committee will also evaluate options to encourage residents to compost kitchen scraps  and yard waste at home to further reduce the amount of organic waste having to be eliminated at the dump.  The sub-committee will work with municipal staff to develop raise public awareness on composting and its benefits.  The ACE will make recommendations to Council and include costs.</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David Roy</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Mai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56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Recycling changes</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tl w:val="0"/>
                <w:lang w:val="en-US"/>
              </w:rPr>
              <w:t>Starting January 1, 2023, municipalities will transfer responsibility of their Blue Box programs to plastic producers</w:t>
            </w:r>
            <w:r>
              <w:rPr>
                <w:rtl w:val="0"/>
                <w:lang w:val="fr-FR"/>
              </w:rPr>
              <w:t>.  By</w:t>
            </w:r>
            <w:r>
              <w:rPr>
                <w:rtl w:val="0"/>
                <w:lang w:val="en-US"/>
              </w:rPr>
              <w:t xml:space="preserve"> December 31, 2025, producers will be fully responsible for providing Blue Box service province-wide.</w:t>
            </w:r>
          </w:p>
          <w:p>
            <w:pPr>
              <w:pStyle w:val="Default"/>
              <w:bidi w:val="0"/>
              <w:spacing w:before="0"/>
              <w:ind w:left="0" w:right="0" w:firstLine="0"/>
              <w:jc w:val="left"/>
              <w:rPr>
                <w:rtl w:val="0"/>
              </w:rPr>
            </w:pPr>
            <w:r>
              <w:rPr>
                <w:rtl w:val="0"/>
                <w:lang w:val="en-US"/>
              </w:rPr>
              <w:t>Therefore, as directed by the government, the Township of Alfred and Plantagenet will not make any changes to its recycling program until the transition in 2023. This is the reason why the township is not supplying new recycling containers or changing the accepted materials in recycling bins.</w:t>
            </w:r>
          </w:p>
          <w:p>
            <w:pPr>
              <w:pStyle w:val="Default"/>
              <w:bidi w:val="0"/>
              <w:spacing w:before="0"/>
              <w:ind w:left="0" w:right="0" w:firstLine="0"/>
              <w:jc w:val="left"/>
              <w:rPr>
                <w:rtl w:val="0"/>
              </w:rPr>
            </w:pPr>
          </w:p>
          <w:p>
            <w:pPr>
              <w:pStyle w:val="Default"/>
              <w:bidi w:val="0"/>
              <w:spacing w:before="0"/>
              <w:ind w:left="0" w:right="0" w:firstLine="0"/>
              <w:jc w:val="left"/>
              <w:rPr>
                <w:outline w:val="0"/>
                <w:color w:val="000000"/>
                <w:u w:val="none" w:color="0067d9"/>
                <w:rtl w:val="0"/>
                <w14:textFill>
                  <w14:solidFill>
                    <w14:srgbClr w14:val="000000"/>
                  </w14:solidFill>
                </w14:textFill>
              </w:rPr>
            </w:pPr>
            <w:r>
              <w:rPr>
                <w:rStyle w:val="Hyperlink.0"/>
                <w:outline w:val="0"/>
                <w:color w:val="0067d9"/>
                <w:u w:val="single" w:color="0067d9"/>
                <w:rtl w:val="0"/>
                <w14:textFill>
                  <w14:solidFill>
                    <w14:srgbClr w14:val="0068DA"/>
                  </w14:solidFill>
                </w14:textFill>
              </w:rPr>
              <w:fldChar w:fldCharType="begin" w:fldLock="0"/>
            </w:r>
            <w:r>
              <w:rPr>
                <w:rStyle w:val="Hyperlink.0"/>
                <w:outline w:val="0"/>
                <w:color w:val="0067d9"/>
                <w:u w:val="single" w:color="0067d9"/>
                <w:rtl w:val="0"/>
                <w14:textFill>
                  <w14:solidFill>
                    <w14:srgbClr w14:val="0068DA"/>
                  </w14:solidFill>
                </w14:textFill>
              </w:rPr>
              <w:instrText xml:space="preserve"> HYPERLINK "https://www.alfred-plantagenet.com/en/living-here/by-law-2020-36.asp"</w:instrText>
            </w:r>
            <w:r>
              <w:rPr>
                <w:rStyle w:val="Hyperlink.0"/>
                <w:outline w:val="0"/>
                <w:color w:val="0067d9"/>
                <w:u w:val="single" w:color="0067d9"/>
                <w:rtl w:val="0"/>
                <w14:textFill>
                  <w14:solidFill>
                    <w14:srgbClr w14:val="0068DA"/>
                  </w14:solidFill>
                </w14:textFill>
              </w:rPr>
              <w:fldChar w:fldCharType="separate" w:fldLock="0"/>
            </w:r>
            <w:r>
              <w:rPr>
                <w:rStyle w:val="Hyperlink.0"/>
                <w:outline w:val="0"/>
                <w:color w:val="0067d9"/>
                <w:u w:val="single" w:color="0067d9"/>
                <w:rtl w:val="0"/>
                <w:lang w:val="en-US"/>
                <w14:textFill>
                  <w14:solidFill>
                    <w14:srgbClr w14:val="0068DA"/>
                  </w14:solidFill>
                </w14:textFill>
              </w:rPr>
              <w:t>https://www.alfred-plantagenet.com/en/living-here/by-law-2020-36.asp</w:t>
            </w:r>
            <w:r>
              <w:rPr>
                <w:outline w:val="0"/>
                <w:color w:val="0067d9"/>
                <w:u w:val="single" w:color="0067d9"/>
                <w:rtl w:val="0"/>
                <w14:textFill>
                  <w14:solidFill>
                    <w14:srgbClr w14:val="0068DA"/>
                  </w14:solidFill>
                </w14:textFill>
              </w:rPr>
              <w:fldChar w:fldCharType="end" w:fldLock="0"/>
            </w:r>
          </w:p>
          <w:p>
            <w:pPr>
              <w:pStyle w:val="Default"/>
              <w:bidi w:val="0"/>
              <w:spacing w:before="0"/>
              <w:ind w:left="0" w:right="0" w:firstLine="0"/>
              <w:jc w:val="left"/>
              <w:rPr>
                <w:rtl w:val="0"/>
              </w:rPr>
            </w:pPr>
          </w:p>
          <w:p>
            <w:pPr>
              <w:pStyle w:val="Default"/>
              <w:bidi w:val="0"/>
              <w:spacing w:before="0"/>
              <w:ind w:left="0" w:right="0" w:firstLine="0"/>
              <w:jc w:val="left"/>
              <w:rPr>
                <w:rtl w:val="0"/>
              </w:rPr>
            </w:pPr>
            <w:r>
              <w:rPr>
                <w:rtl w:val="0"/>
                <w:lang w:val="en-US"/>
              </w:rPr>
              <w:t>The communication department of the township will promote better recycling practices on its social media twice per months until 2023</w:t>
            </w:r>
            <w:r>
              <w:rPr>
                <w:rtl w:val="0"/>
                <w:lang w:val="fr-FR"/>
              </w:rPr>
              <w:t xml:space="preserve"> and encourage local entrepreneurs develop a market for plastics.</w:t>
            </w:r>
            <w:r>
              <w:rPr>
                <w:rtl w:val="0"/>
              </w:rPr>
              <w:t xml:space="preserve"> </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Genevi</w:t>
            </w:r>
            <w:r>
              <w:rPr>
                <w:rFonts w:ascii="Helvetica Neue" w:hAnsi="Helvetica Neue" w:hint="default"/>
                <w:sz w:val="24"/>
                <w:szCs w:val="24"/>
                <w:rtl w:val="0"/>
              </w:rPr>
              <w:t>è</w:t>
            </w:r>
            <w:r>
              <w:rPr>
                <w:rFonts w:ascii="Helvetica Neue" w:hAnsi="Helvetica Neue"/>
                <w:sz w:val="24"/>
                <w:szCs w:val="24"/>
                <w:rtl w:val="0"/>
              </w:rPr>
              <w:t>ve Souligny</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On going</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15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Tree plantation Pitch-Off road cemetery</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In order to protect the land where Pitch-Off road cemetery is located, the committee recommends the purchasing and planting of trees to create a natural fence around cemetery.</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Ian Walker</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October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sz w:val="24"/>
                <w:szCs w:val="24"/>
                <w:rtl w:val="0"/>
              </w:rPr>
              <w:t>2K</w:t>
            </w:r>
          </w:p>
        </w:tc>
      </w:tr>
      <w:tr>
        <w:tblPrEx>
          <w:shd w:val="clear" w:color="auto" w:fill="auto"/>
        </w:tblPrEx>
        <w:trPr>
          <w:trHeight w:val="14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Dump management</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hd w:val="clear" w:color="auto" w:fill="auto"/>
              <w:bidi w:val="0"/>
              <w:spacing w:before="0"/>
              <w:ind w:left="0" w:right="0" w:firstLine="0"/>
              <w:jc w:val="left"/>
              <w:rPr>
                <w:rtl w:val="0"/>
              </w:rPr>
            </w:pPr>
            <w:r>
              <w:rPr>
                <w:rFonts w:ascii="Helvetica Neue" w:hAnsi="Helvetica Neue"/>
                <w:shd w:val="clear" w:color="auto" w:fill="fefefe"/>
                <w:rtl w:val="0"/>
              </w:rPr>
              <w:t>ACE to conduct preliminary observations of dump management to increase efficiencies and reduce impact on environment.  The observations will be operationalized into best practices and recommended to Council.</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David Roy</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December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56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Alus project</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A member of ACE to act as liaison between ACE and ALUS and keep ACE apprised of new developments.</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Ian Walker</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December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9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Draft Environment Policy</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As per Terms of Reference of the ACE, the committee will draft a Environment Policy for the Township and for Council</w:t>
            </w:r>
            <w:r>
              <w:rPr>
                <w:rFonts w:ascii="Helvetica Neue" w:hAnsi="Helvetica Neue" w:hint="default"/>
                <w:sz w:val="24"/>
                <w:szCs w:val="24"/>
                <w:rtl w:val="0"/>
              </w:rPr>
              <w:t>’</w:t>
            </w:r>
            <w:r>
              <w:rPr>
                <w:rFonts w:ascii="Helvetica Neue" w:hAnsi="Helvetica Neue"/>
                <w:sz w:val="24"/>
                <w:szCs w:val="24"/>
                <w:rtl w:val="0"/>
              </w:rPr>
              <w:t>s approval.</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Nathalie Belliveau</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December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112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Wetland by-law</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Township to participate the drafting of a wetland by-law being developed by County.  Ace to be used as a sounding board and to provide advice on the needs of township.</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Ian Walker</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December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226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Orange-drop analysis</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tl w:val="0"/>
                <w:lang w:val="en-US"/>
              </w:rPr>
              <w:t xml:space="preserve">The Orange Drop Program is a free, safe, easy way to dispose of household products that require special handling. Fully funded by industry, this network of collection sites accepts four materials.  ACE would like to look in to opportunities that would strengthen the Townships position in the handling of household products and decrease negative impact on the environment.  </w:t>
            </w:r>
            <w:r>
              <w:rPr>
                <w:b w:val="1"/>
                <w:bCs w:val="1"/>
                <w:rtl w:val="0"/>
                <w:lang w:val="en-US"/>
              </w:rPr>
              <w:t>This project is postponed to 2022.</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Genevi</w:t>
            </w:r>
            <w:r>
              <w:rPr>
                <w:rFonts w:ascii="Helvetica Neue" w:hAnsi="Helvetica Neue" w:hint="default"/>
                <w:sz w:val="24"/>
                <w:szCs w:val="24"/>
                <w:rtl w:val="0"/>
              </w:rPr>
              <w:t>è</w:t>
            </w:r>
            <w:r>
              <w:rPr>
                <w:rFonts w:ascii="Helvetica Neue" w:hAnsi="Helvetica Neue"/>
                <w:sz w:val="24"/>
                <w:szCs w:val="24"/>
                <w:rtl w:val="0"/>
              </w:rPr>
              <w:t>ve Goulet</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9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Forest coverage by-law</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ACE to continue the drafting of the Forest Conservation By-law (draft)/ R</w:t>
            </w:r>
            <w:r>
              <w:rPr>
                <w:rFonts w:ascii="Helvetica Neue" w:hAnsi="Helvetica Neue" w:hint="default"/>
                <w:sz w:val="24"/>
                <w:szCs w:val="24"/>
                <w:rtl w:val="0"/>
              </w:rPr>
              <w:t>è</w:t>
            </w:r>
            <w:r>
              <w:rPr>
                <w:rFonts w:ascii="Helvetica Neue" w:hAnsi="Helvetica Neue"/>
                <w:sz w:val="24"/>
                <w:szCs w:val="24"/>
                <w:rtl w:val="0"/>
              </w:rPr>
              <w:t>glement sur la protection de la for</w:t>
            </w:r>
            <w:r>
              <w:rPr>
                <w:rFonts w:ascii="Helvetica Neue" w:hAnsi="Helvetica Neue" w:hint="default"/>
                <w:sz w:val="24"/>
                <w:szCs w:val="24"/>
                <w:rtl w:val="0"/>
              </w:rPr>
              <w:t>ê</w:t>
            </w:r>
            <w:r>
              <w:rPr>
                <w:rFonts w:ascii="Helvetica Neue" w:hAnsi="Helvetica Neue"/>
                <w:sz w:val="24"/>
                <w:szCs w:val="24"/>
                <w:rtl w:val="0"/>
              </w:rPr>
              <w:t>t (</w:t>
            </w:r>
            <w:r>
              <w:rPr>
                <w:rFonts w:ascii="Helvetica Neue" w:hAnsi="Helvetica Neue" w:hint="default"/>
                <w:sz w:val="24"/>
                <w:szCs w:val="24"/>
                <w:rtl w:val="0"/>
              </w:rPr>
              <w:t>é</w:t>
            </w:r>
            <w:r>
              <w:rPr>
                <w:rFonts w:ascii="Helvetica Neue" w:hAnsi="Helvetica Neue"/>
                <w:sz w:val="24"/>
                <w:szCs w:val="24"/>
                <w:rtl w:val="0"/>
              </w:rPr>
              <w:t>bauche) to be presented to Council for approval.</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Ian Walker</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December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196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Environment</w:t>
            </w:r>
          </w:p>
          <w:p>
            <w:pPr>
              <w:pStyle w:val="Table Style 1"/>
            </w:pPr>
            <w:r>
              <w:rPr>
                <w:rFonts w:ascii="Helvetica Neue" w:hAnsi="Helvetica Neue"/>
                <w:sz w:val="24"/>
                <w:szCs w:val="24"/>
                <w:rtl w:val="0"/>
              </w:rPr>
              <w:t xml:space="preserve">Resources </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There are a significant amount of environmental issues in our Township that cannot be addressed in a timely manner due to the insufficient resources available to do so.  The Ace would like to conduct an analysis and bechmark how other municipalities and Townships are addressing this issue and provide Council with options and recommendations on a way forward.</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Nathalie Belliveau</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December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18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Protection and maintenance of trees on township property</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ind w:left="0" w:right="0" w:firstLine="0"/>
              <w:jc w:val="left"/>
              <w:rPr>
                <w:rtl w:val="0"/>
              </w:rPr>
            </w:pPr>
            <w:r>
              <w:rPr>
                <w:rFonts w:ascii="Helvetica Neue" w:hAnsi="Helvetica Neue"/>
                <w:rtl w:val="0"/>
              </w:rPr>
              <w:t>Reduce damage to trees in parcs caused by mechanical removal of grass and weed by protecting them with wood chips or mulch.</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Ian Walker</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tl w:val="0"/>
              </w:rPr>
              <w:t>December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r>
        <w:tblPrEx>
          <w:shd w:val="clear" w:color="auto" w:fill="auto"/>
        </w:tblPrEx>
        <w:trPr>
          <w:trHeight w:val="1200" w:hRule="atLeast"/>
        </w:trPr>
        <w:tc>
          <w:tcPr>
            <w:tcW w:type="dxa" w:w="175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pPr>
            <w:r>
              <w:rPr>
                <w:rFonts w:ascii="Helvetica Neue" w:hAnsi="Helvetica Neue"/>
                <w:sz w:val="24"/>
                <w:szCs w:val="24"/>
                <w:rtl w:val="0"/>
              </w:rPr>
              <w:t>Dickinson Creek Conversation Area</w:t>
            </w:r>
          </w:p>
        </w:tc>
        <w:tc>
          <w:tcPr>
            <w:tcW w:type="dxa" w:w="625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Helvetica Neue" w:hAnsi="Helvetica Neue"/>
                <w:rtl w:val="0"/>
              </w:rPr>
              <w:t>Ace to work with Township and UCPR to have Dickinson Creek recognized as a conservation area and make recommendation to Council on how to maintain and or improve the area.</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David Roy</w:t>
            </w:r>
          </w:p>
        </w:tc>
        <w:tc>
          <w:tcPr>
            <w:tcW w:type="dxa" w:w="1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tl w:val="0"/>
              </w:rPr>
              <w:t>June 2021</w:t>
            </w:r>
          </w:p>
        </w:tc>
        <w:tc>
          <w:tcPr>
            <w:tcW w:type="dxa" w:w="1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sz w:val="24"/>
                <w:szCs w:val="24"/>
                <w:rtl w:val="0"/>
              </w:rPr>
              <w:t>0</w:t>
            </w:r>
          </w:p>
        </w:tc>
      </w:tr>
    </w:tbl>
    <w:p>
      <w:pPr>
        <w:pStyle w:val="Body"/>
        <w:jc w:val="center"/>
      </w:pPr>
      <w:r>
        <w:rPr>
          <w:sz w:val="28"/>
          <w:szCs w:val="28"/>
        </w:rPr>
      </w:r>
    </w:p>
    <w:sectPr>
      <w:headerReference w:type="default" r:id="rId5"/>
      <w:footerReference w:type="default" r:id="rId6"/>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